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937"/>
      </w:tblGrid>
      <w:tr w:rsidR="00B0556E" w:rsidRPr="00864063" w14:paraId="19E65F2C" w14:textId="77777777" w:rsidTr="008D139B">
        <w:trPr>
          <w:trHeight w:val="567"/>
        </w:trPr>
        <w:tc>
          <w:tcPr>
            <w:tcW w:w="2268" w:type="dxa"/>
            <w:vAlign w:val="center"/>
          </w:tcPr>
          <w:p w14:paraId="19E65F2A" w14:textId="77777777" w:rsidR="00B0556E" w:rsidRPr="00864063" w:rsidRDefault="00B0556E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64063">
              <w:rPr>
                <w:rFonts w:ascii="Arial" w:hAnsi="Arial" w:cs="Arial"/>
                <w:b/>
                <w:sz w:val="24"/>
                <w:szCs w:val="24"/>
              </w:rPr>
              <w:t>Title of unit:</w:t>
            </w:r>
          </w:p>
        </w:tc>
        <w:tc>
          <w:tcPr>
            <w:tcW w:w="7937" w:type="dxa"/>
            <w:vAlign w:val="center"/>
          </w:tcPr>
          <w:p w14:paraId="19E65F2B" w14:textId="54282E2C" w:rsidR="00B0556E" w:rsidRPr="00864063" w:rsidRDefault="00F04995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64063">
              <w:rPr>
                <w:rFonts w:ascii="Arial" w:hAnsi="Arial" w:cs="Arial"/>
                <w:sz w:val="24"/>
                <w:szCs w:val="24"/>
              </w:rPr>
              <w:t>Ratio and proportion</w:t>
            </w:r>
          </w:p>
        </w:tc>
      </w:tr>
      <w:tr w:rsidR="00B0556E" w:rsidRPr="00864063" w14:paraId="19E65F2F" w14:textId="77777777" w:rsidTr="008D139B">
        <w:trPr>
          <w:trHeight w:val="2268"/>
        </w:trPr>
        <w:tc>
          <w:tcPr>
            <w:tcW w:w="2268" w:type="dxa"/>
            <w:vAlign w:val="center"/>
          </w:tcPr>
          <w:p w14:paraId="19E65F2D" w14:textId="77777777" w:rsidR="00B0556E" w:rsidRPr="00864063" w:rsidRDefault="00B0556E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64063">
              <w:rPr>
                <w:rFonts w:ascii="Arial" w:hAnsi="Arial" w:cs="Arial"/>
                <w:b/>
                <w:sz w:val="24"/>
                <w:szCs w:val="24"/>
              </w:rPr>
              <w:t>Overview of unit:</w:t>
            </w:r>
          </w:p>
        </w:tc>
        <w:tc>
          <w:tcPr>
            <w:tcW w:w="7937" w:type="dxa"/>
            <w:vAlign w:val="center"/>
          </w:tcPr>
          <w:p w14:paraId="26ED010B" w14:textId="097A2ECF" w:rsidR="008D139B" w:rsidRDefault="00515966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Simplifying</w:t>
            </w:r>
            <w:r w:rsidR="008D139B">
              <w:rPr>
                <w:rFonts w:ascii="Arial" w:hAnsi="Arial" w:cs="Arial"/>
                <w:sz w:val="24"/>
                <w:szCs w:val="24"/>
              </w:rPr>
              <w:t xml:space="preserve"> ratio</w:t>
            </w:r>
          </w:p>
          <w:p w14:paraId="1A5282DA" w14:textId="77777777" w:rsidR="008D139B" w:rsidRDefault="008D139B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Dividing into a ratio</w:t>
            </w:r>
          </w:p>
          <w:p w14:paraId="4A23E6F9" w14:textId="77777777" w:rsidR="008D139B" w:rsidRDefault="008D139B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 buys</w:t>
            </w:r>
          </w:p>
          <w:p w14:paraId="419ED55B" w14:textId="77777777" w:rsidR="008D139B" w:rsidRDefault="008D139B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Recipes</w:t>
            </w:r>
          </w:p>
          <w:p w14:paraId="16D62A99" w14:textId="77777777" w:rsidR="008D139B" w:rsidRDefault="008D139B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Exchange rates</w:t>
            </w:r>
          </w:p>
          <w:p w14:paraId="19E65F2E" w14:textId="5AD0E0F2" w:rsidR="00B0556E" w:rsidRPr="00864063" w:rsidRDefault="008D139B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 and inverse proportion</w:t>
            </w:r>
          </w:p>
        </w:tc>
      </w:tr>
      <w:tr w:rsidR="00B0556E" w:rsidRPr="00864063" w14:paraId="19E65F32" w14:textId="77777777" w:rsidTr="008D139B">
        <w:trPr>
          <w:trHeight w:val="1134"/>
        </w:trPr>
        <w:tc>
          <w:tcPr>
            <w:tcW w:w="2268" w:type="dxa"/>
            <w:vAlign w:val="center"/>
          </w:tcPr>
          <w:p w14:paraId="19E65F30" w14:textId="312CFC03" w:rsidR="00B0556E" w:rsidRPr="00864063" w:rsidRDefault="00B0556E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64063">
              <w:rPr>
                <w:rFonts w:ascii="Arial" w:hAnsi="Arial" w:cs="Arial"/>
                <w:b/>
                <w:sz w:val="24"/>
                <w:szCs w:val="24"/>
              </w:rPr>
              <w:t>Cross-curricular/ extra-curricular links:</w:t>
            </w:r>
          </w:p>
        </w:tc>
        <w:tc>
          <w:tcPr>
            <w:tcW w:w="7937" w:type="dxa"/>
            <w:vAlign w:val="center"/>
          </w:tcPr>
          <w:p w14:paraId="2633B758" w14:textId="77777777" w:rsidR="008D139B" w:rsidRPr="008D139B" w:rsidRDefault="008D139B" w:rsidP="008D13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D139B">
              <w:rPr>
                <w:rFonts w:ascii="Arial" w:hAnsi="Arial" w:cs="Arial"/>
                <w:sz w:val="24"/>
                <w:szCs w:val="24"/>
              </w:rPr>
              <w:t>Art/Design – mixing paint as a ratio; the Golden Ratio</w:t>
            </w:r>
          </w:p>
          <w:p w14:paraId="19E65F31" w14:textId="290D7AFE" w:rsidR="00B0556E" w:rsidRPr="00864063" w:rsidRDefault="008D139B" w:rsidP="008D13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D139B">
              <w:rPr>
                <w:rFonts w:ascii="Arial" w:hAnsi="Arial" w:cs="Arial"/>
                <w:sz w:val="24"/>
                <w:szCs w:val="24"/>
              </w:rPr>
              <w:t>MFL – exchange rates</w:t>
            </w:r>
          </w:p>
        </w:tc>
      </w:tr>
      <w:tr w:rsidR="00B0556E" w:rsidRPr="00864063" w14:paraId="19E65F35" w14:textId="77777777" w:rsidTr="008D139B">
        <w:trPr>
          <w:trHeight w:val="1134"/>
        </w:trPr>
        <w:tc>
          <w:tcPr>
            <w:tcW w:w="2268" w:type="dxa"/>
            <w:vAlign w:val="center"/>
          </w:tcPr>
          <w:p w14:paraId="19E65F33" w14:textId="0E647B2B" w:rsidR="00B0556E" w:rsidRPr="00864063" w:rsidRDefault="00B0556E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64063">
              <w:rPr>
                <w:rFonts w:ascii="Arial" w:hAnsi="Arial" w:cs="Arial"/>
                <w:b/>
                <w:sz w:val="24"/>
                <w:szCs w:val="24"/>
              </w:rPr>
              <w:t>Literacy/</w:t>
            </w:r>
            <w:r w:rsidR="00864063" w:rsidRPr="0086406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64063">
              <w:rPr>
                <w:rFonts w:ascii="Arial" w:hAnsi="Arial" w:cs="Arial"/>
                <w:b/>
                <w:sz w:val="24"/>
                <w:szCs w:val="24"/>
              </w:rPr>
              <w:t>numeracy links:</w:t>
            </w:r>
          </w:p>
        </w:tc>
        <w:tc>
          <w:tcPr>
            <w:tcW w:w="7937" w:type="dxa"/>
            <w:vAlign w:val="center"/>
          </w:tcPr>
          <w:p w14:paraId="05F2B31A" w14:textId="77777777" w:rsidR="00F04995" w:rsidRPr="00864063" w:rsidRDefault="00F04995" w:rsidP="00F049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64063">
              <w:rPr>
                <w:rFonts w:ascii="Arial" w:hAnsi="Arial" w:cs="Arial"/>
                <w:sz w:val="24"/>
                <w:szCs w:val="24"/>
              </w:rPr>
              <w:t>Keywords:</w:t>
            </w:r>
          </w:p>
          <w:p w14:paraId="19E65F34" w14:textId="4ACDA0E5" w:rsidR="00B0556E" w:rsidRPr="00864063" w:rsidRDefault="00F04995" w:rsidP="00F049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64063">
              <w:rPr>
                <w:rFonts w:ascii="Arial" w:hAnsi="Arial" w:cs="Arial"/>
                <w:sz w:val="24"/>
                <w:szCs w:val="24"/>
              </w:rPr>
              <w:t>Ratio, proportion, simplify, divide, direct, inverse</w:t>
            </w:r>
          </w:p>
        </w:tc>
      </w:tr>
    </w:tbl>
    <w:p w14:paraId="19E65F36" w14:textId="77777777" w:rsidR="00B0556E" w:rsidRPr="00864063" w:rsidRDefault="00B0556E" w:rsidP="00B0556E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2268"/>
        <w:gridCol w:w="3969"/>
        <w:gridCol w:w="3969"/>
      </w:tblGrid>
      <w:tr w:rsidR="008D139B" w:rsidRPr="00864063" w14:paraId="19E65F3F" w14:textId="77777777" w:rsidTr="008D139B">
        <w:trPr>
          <w:trHeight w:val="567"/>
        </w:trPr>
        <w:tc>
          <w:tcPr>
            <w:tcW w:w="2268" w:type="dxa"/>
            <w:vAlign w:val="center"/>
          </w:tcPr>
          <w:p w14:paraId="19E65F3B" w14:textId="77777777" w:rsidR="008D139B" w:rsidRPr="00864063" w:rsidRDefault="008D139B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64063">
              <w:rPr>
                <w:rFonts w:ascii="Arial" w:hAnsi="Arial" w:cs="Arial"/>
                <w:b/>
                <w:sz w:val="24"/>
                <w:szCs w:val="24"/>
              </w:rPr>
              <w:t>Grade:</w:t>
            </w:r>
          </w:p>
        </w:tc>
        <w:tc>
          <w:tcPr>
            <w:tcW w:w="3969" w:type="dxa"/>
            <w:vAlign w:val="center"/>
          </w:tcPr>
          <w:p w14:paraId="19E65F3C" w14:textId="77777777" w:rsidR="008D139B" w:rsidRPr="00864063" w:rsidRDefault="008D139B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64063">
              <w:rPr>
                <w:rFonts w:ascii="Arial" w:hAnsi="Arial" w:cs="Arial"/>
                <w:b/>
                <w:sz w:val="24"/>
                <w:szCs w:val="24"/>
              </w:rPr>
              <w:t>Learning objective:</w:t>
            </w:r>
          </w:p>
        </w:tc>
        <w:tc>
          <w:tcPr>
            <w:tcW w:w="3969" w:type="dxa"/>
            <w:vAlign w:val="center"/>
          </w:tcPr>
          <w:p w14:paraId="19E65F3D" w14:textId="77777777" w:rsidR="008D139B" w:rsidRPr="00864063" w:rsidRDefault="008D139B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64063">
              <w:rPr>
                <w:rFonts w:ascii="Arial" w:hAnsi="Arial" w:cs="Arial"/>
                <w:b/>
                <w:sz w:val="24"/>
                <w:szCs w:val="24"/>
              </w:rPr>
              <w:t>Resources:</w:t>
            </w:r>
          </w:p>
        </w:tc>
      </w:tr>
      <w:tr w:rsidR="008D139B" w:rsidRPr="00864063" w14:paraId="19E65F44" w14:textId="77777777" w:rsidTr="008D139B">
        <w:trPr>
          <w:trHeight w:val="567"/>
        </w:trPr>
        <w:tc>
          <w:tcPr>
            <w:tcW w:w="2268" w:type="dxa"/>
            <w:vAlign w:val="center"/>
          </w:tcPr>
          <w:p w14:paraId="19E65F40" w14:textId="77777777" w:rsidR="008D139B" w:rsidRPr="00864063" w:rsidRDefault="008D139B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6406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19E65F41" w14:textId="13C5AFE7" w:rsidR="008D139B" w:rsidRPr="00864063" w:rsidRDefault="008D139B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64063">
              <w:rPr>
                <w:rFonts w:ascii="Arial" w:hAnsi="Arial" w:cs="Arial"/>
                <w:sz w:val="24"/>
                <w:szCs w:val="24"/>
              </w:rPr>
              <w:t>Simplify ratios.</w:t>
            </w:r>
          </w:p>
        </w:tc>
        <w:tc>
          <w:tcPr>
            <w:tcW w:w="3969" w:type="dxa"/>
            <w:vAlign w:val="center"/>
          </w:tcPr>
          <w:p w14:paraId="19E65F42" w14:textId="32DDF3BE" w:rsidR="008D139B" w:rsidRPr="00864063" w:rsidRDefault="008809B7" w:rsidP="00C556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8D139B" w:rsidRPr="008809B7">
                <w:rPr>
                  <w:rStyle w:val="Hyperlink"/>
                  <w:rFonts w:ascii="Arial" w:hAnsi="Arial" w:cs="Arial"/>
                  <w:sz w:val="24"/>
                  <w:szCs w:val="24"/>
                </w:rPr>
                <w:t>Simplifying ratio</w:t>
              </w:r>
            </w:hyperlink>
          </w:p>
        </w:tc>
      </w:tr>
      <w:tr w:rsidR="008D139B" w:rsidRPr="00864063" w14:paraId="19E65F49" w14:textId="77777777" w:rsidTr="008D139B">
        <w:trPr>
          <w:trHeight w:val="567"/>
        </w:trPr>
        <w:tc>
          <w:tcPr>
            <w:tcW w:w="2268" w:type="dxa"/>
            <w:vAlign w:val="center"/>
          </w:tcPr>
          <w:p w14:paraId="19E65F45" w14:textId="77777777" w:rsidR="008D139B" w:rsidRPr="00864063" w:rsidRDefault="008D139B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6406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7445DDD5" w14:textId="21F9DC3B" w:rsidR="008D139B" w:rsidRPr="00864063" w:rsidRDefault="008D139B" w:rsidP="00F049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64063">
              <w:rPr>
                <w:rFonts w:ascii="Arial" w:hAnsi="Arial" w:cs="Arial"/>
                <w:sz w:val="24"/>
                <w:szCs w:val="24"/>
              </w:rPr>
              <w:t>Solve ratio problems using the unitary method.</w:t>
            </w:r>
          </w:p>
          <w:p w14:paraId="375C1E8E" w14:textId="09827677" w:rsidR="008D139B" w:rsidRPr="00864063" w:rsidRDefault="008D139B" w:rsidP="00F049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64063">
              <w:rPr>
                <w:rFonts w:ascii="Arial" w:hAnsi="Arial" w:cs="Arial"/>
                <w:sz w:val="24"/>
                <w:szCs w:val="24"/>
              </w:rPr>
              <w:t>Solve problems involving recipes.</w:t>
            </w:r>
          </w:p>
          <w:p w14:paraId="19E65F46" w14:textId="6D075B17" w:rsidR="008D139B" w:rsidRPr="00864063" w:rsidRDefault="008D139B" w:rsidP="00F049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64063">
              <w:rPr>
                <w:rFonts w:ascii="Arial" w:hAnsi="Arial" w:cs="Arial"/>
                <w:sz w:val="24"/>
                <w:szCs w:val="24"/>
              </w:rPr>
              <w:t>Calculate the best value of a product.</w:t>
            </w:r>
          </w:p>
        </w:tc>
        <w:tc>
          <w:tcPr>
            <w:tcW w:w="3969" w:type="dxa"/>
            <w:vAlign w:val="center"/>
          </w:tcPr>
          <w:p w14:paraId="4E3E7379" w14:textId="5393F5B0" w:rsidR="008D139B" w:rsidRPr="008809B7" w:rsidRDefault="008809B7" w:rsidP="00C556E5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HYPERLINK "https://www.piximaths.co.uk/applied-ratio"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139B" w:rsidRPr="008809B7">
              <w:rPr>
                <w:rStyle w:val="Hyperlink"/>
                <w:rFonts w:ascii="Arial" w:hAnsi="Arial" w:cs="Arial"/>
                <w:sz w:val="24"/>
                <w:szCs w:val="24"/>
              </w:rPr>
              <w:t>Best buys</w:t>
            </w:r>
          </w:p>
          <w:p w14:paraId="638CF593" w14:textId="77777777" w:rsidR="008D139B" w:rsidRPr="008809B7" w:rsidRDefault="008D139B" w:rsidP="00C556E5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31B5FF2A" w14:textId="77777777" w:rsidR="008D139B" w:rsidRPr="008809B7" w:rsidRDefault="008D139B" w:rsidP="00C556E5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8809B7">
              <w:rPr>
                <w:rStyle w:val="Hyperlink"/>
                <w:rFonts w:ascii="Arial" w:hAnsi="Arial" w:cs="Arial"/>
                <w:sz w:val="24"/>
                <w:szCs w:val="24"/>
              </w:rPr>
              <w:t>Recipes</w:t>
            </w:r>
          </w:p>
          <w:p w14:paraId="6E189F59" w14:textId="163E725C" w:rsidR="008D139B" w:rsidRDefault="008D139B" w:rsidP="00C556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809B7">
              <w:rPr>
                <w:rStyle w:val="Hyperlink"/>
                <w:rFonts w:ascii="Arial" w:hAnsi="Arial" w:cs="Arial"/>
                <w:sz w:val="24"/>
                <w:szCs w:val="24"/>
              </w:rPr>
              <w:t>Best buys</w:t>
            </w:r>
            <w:r w:rsidR="008809B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9E65F47" w14:textId="19DECF5C" w:rsidR="008D139B" w:rsidRPr="00864063" w:rsidRDefault="008D139B" w:rsidP="00C556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39B" w:rsidRPr="00864063" w14:paraId="19E65F4E" w14:textId="77777777" w:rsidTr="008D139B">
        <w:trPr>
          <w:trHeight w:val="567"/>
        </w:trPr>
        <w:tc>
          <w:tcPr>
            <w:tcW w:w="2268" w:type="dxa"/>
            <w:vAlign w:val="center"/>
          </w:tcPr>
          <w:p w14:paraId="19E65F4A" w14:textId="41A60514" w:rsidR="008D139B" w:rsidRPr="00864063" w:rsidRDefault="008D139B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6406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7C164DEF" w14:textId="1E63A4F3" w:rsidR="008D139B" w:rsidRPr="00864063" w:rsidRDefault="008D139B" w:rsidP="00F049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64063">
              <w:rPr>
                <w:rFonts w:ascii="Arial" w:hAnsi="Arial" w:cs="Arial"/>
                <w:sz w:val="24"/>
                <w:szCs w:val="24"/>
              </w:rPr>
              <w:t>Divide quantities by simple ratios.</w:t>
            </w:r>
          </w:p>
          <w:p w14:paraId="19E65F4B" w14:textId="0F59E262" w:rsidR="008D139B" w:rsidRPr="00864063" w:rsidRDefault="008D139B" w:rsidP="00F049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64063">
              <w:rPr>
                <w:rFonts w:ascii="Arial" w:hAnsi="Arial" w:cs="Arial"/>
                <w:sz w:val="24"/>
                <w:szCs w:val="24"/>
              </w:rPr>
              <w:t>Use ratio to convert between currencies.</w:t>
            </w:r>
          </w:p>
        </w:tc>
        <w:tc>
          <w:tcPr>
            <w:tcW w:w="3969" w:type="dxa"/>
            <w:vAlign w:val="center"/>
          </w:tcPr>
          <w:p w14:paraId="233E9208" w14:textId="476ACA49" w:rsidR="008D139B" w:rsidRDefault="008809B7" w:rsidP="00C556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8D139B" w:rsidRPr="008809B7">
                <w:rPr>
                  <w:rStyle w:val="Hyperlink"/>
                  <w:rFonts w:ascii="Arial" w:hAnsi="Arial" w:cs="Arial"/>
                  <w:sz w:val="24"/>
                  <w:szCs w:val="24"/>
                </w:rPr>
                <w:t>Dividing/sharing into ratios</w:t>
              </w:r>
            </w:hyperlink>
          </w:p>
          <w:p w14:paraId="4FE83B37" w14:textId="03136478" w:rsidR="008D139B" w:rsidRDefault="008809B7" w:rsidP="00C556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8D139B" w:rsidRPr="008809B7">
                <w:rPr>
                  <w:rStyle w:val="Hyperlink"/>
                  <w:rFonts w:ascii="Arial" w:hAnsi="Arial" w:cs="Arial"/>
                  <w:sz w:val="24"/>
                  <w:szCs w:val="24"/>
                </w:rPr>
                <w:t>Exchange rates</w:t>
              </w:r>
            </w:hyperlink>
          </w:p>
          <w:p w14:paraId="19E65F4C" w14:textId="191DB1E6" w:rsidR="008D139B" w:rsidRPr="00864063" w:rsidRDefault="008D139B" w:rsidP="00C556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39B" w:rsidRPr="00864063" w14:paraId="19E65F53" w14:textId="77777777" w:rsidTr="008D139B">
        <w:trPr>
          <w:trHeight w:val="567"/>
        </w:trPr>
        <w:tc>
          <w:tcPr>
            <w:tcW w:w="2268" w:type="dxa"/>
            <w:vAlign w:val="center"/>
          </w:tcPr>
          <w:p w14:paraId="19E65F4F" w14:textId="1B348A1E" w:rsidR="008D139B" w:rsidRPr="00864063" w:rsidRDefault="008D139B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6406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7477112F" w14:textId="064E7D62" w:rsidR="008D139B" w:rsidRPr="00864063" w:rsidRDefault="008D139B" w:rsidP="00F049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64063">
              <w:rPr>
                <w:rFonts w:ascii="Arial" w:hAnsi="Arial" w:cs="Arial"/>
                <w:sz w:val="24"/>
                <w:szCs w:val="24"/>
              </w:rPr>
              <w:t>Use ratio to solve problems about exchange rates.</w:t>
            </w:r>
          </w:p>
          <w:p w14:paraId="16DB3249" w14:textId="0C2CB96C" w:rsidR="008D139B" w:rsidRPr="00864063" w:rsidRDefault="008D139B" w:rsidP="00F049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64063">
              <w:rPr>
                <w:rFonts w:ascii="Arial" w:hAnsi="Arial" w:cs="Arial"/>
                <w:sz w:val="24"/>
                <w:szCs w:val="24"/>
              </w:rPr>
              <w:t>Use proportional reasoning to solve problems, choosing the correct numbers to take a whole.</w:t>
            </w:r>
          </w:p>
          <w:p w14:paraId="19E65F50" w14:textId="6A028F92" w:rsidR="008D139B" w:rsidRPr="00864063" w:rsidRDefault="008D139B" w:rsidP="00F049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64063">
              <w:rPr>
                <w:rFonts w:ascii="Arial" w:hAnsi="Arial" w:cs="Arial"/>
                <w:sz w:val="24"/>
                <w:szCs w:val="24"/>
              </w:rPr>
              <w:t>Use direct and inverse proportion graphically.</w:t>
            </w:r>
          </w:p>
        </w:tc>
        <w:tc>
          <w:tcPr>
            <w:tcW w:w="3969" w:type="dxa"/>
            <w:vAlign w:val="center"/>
          </w:tcPr>
          <w:p w14:paraId="5C1A8DCD" w14:textId="4F3632A3" w:rsidR="008D139B" w:rsidRPr="008809B7" w:rsidRDefault="008809B7" w:rsidP="00C556E5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HYPERLINK "https://www.piximaths.co.uk/applied-ratio"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139B" w:rsidRPr="008809B7">
              <w:rPr>
                <w:rStyle w:val="Hyperlink"/>
                <w:rFonts w:ascii="Arial" w:hAnsi="Arial" w:cs="Arial"/>
                <w:sz w:val="24"/>
                <w:szCs w:val="24"/>
              </w:rPr>
              <w:t>Exchange rates</w:t>
            </w:r>
          </w:p>
          <w:p w14:paraId="11117C26" w14:textId="77777777" w:rsidR="008D139B" w:rsidRPr="008809B7" w:rsidRDefault="008D139B" w:rsidP="00C556E5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66D47FD1" w14:textId="42B42D22" w:rsidR="008D139B" w:rsidRDefault="008D139B" w:rsidP="00C556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809B7">
              <w:rPr>
                <w:rStyle w:val="Hyperlink"/>
                <w:rFonts w:ascii="Arial" w:hAnsi="Arial" w:cs="Arial"/>
                <w:sz w:val="24"/>
                <w:szCs w:val="24"/>
              </w:rPr>
              <w:t>Best buys</w:t>
            </w:r>
            <w:r w:rsidR="008809B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BCA5D7D" w14:textId="77777777" w:rsidR="008D139B" w:rsidRDefault="008D139B" w:rsidP="00C556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D7175C7" w14:textId="77777777" w:rsidR="008D139B" w:rsidRDefault="008D139B" w:rsidP="00C556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4C031EE" w14:textId="4E35F58E" w:rsidR="008D139B" w:rsidRDefault="008809B7" w:rsidP="00C556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A7043E" w:rsidRPr="008809B7">
                <w:rPr>
                  <w:rStyle w:val="Hyperlink"/>
                  <w:rFonts w:ascii="Arial" w:hAnsi="Arial" w:cs="Arial"/>
                  <w:sz w:val="24"/>
                  <w:szCs w:val="24"/>
                </w:rPr>
                <w:t>Graphical</w:t>
              </w:r>
              <w:r w:rsidR="008D139B" w:rsidRPr="008809B7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proportion</w:t>
              </w:r>
            </w:hyperlink>
          </w:p>
          <w:p w14:paraId="19E65F51" w14:textId="2AD22D24" w:rsidR="008D139B" w:rsidRPr="00864063" w:rsidRDefault="008D139B" w:rsidP="00C556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39B" w:rsidRPr="00864063" w14:paraId="19E65F58" w14:textId="77777777" w:rsidTr="008D139B">
        <w:trPr>
          <w:trHeight w:val="567"/>
        </w:trPr>
        <w:tc>
          <w:tcPr>
            <w:tcW w:w="2268" w:type="dxa"/>
            <w:vAlign w:val="center"/>
          </w:tcPr>
          <w:p w14:paraId="19E65F54" w14:textId="2C483AC0" w:rsidR="008D139B" w:rsidRPr="00864063" w:rsidRDefault="008D139B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6406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039E8621" w14:textId="70D7AD12" w:rsidR="008D139B" w:rsidRPr="00864063" w:rsidRDefault="008D139B" w:rsidP="00F049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64063">
              <w:rPr>
                <w:rFonts w:ascii="Arial" w:hAnsi="Arial" w:cs="Arial"/>
                <w:sz w:val="24"/>
                <w:szCs w:val="24"/>
              </w:rPr>
              <w:t>Calculate direct and inverse proportion algebraically.</w:t>
            </w:r>
          </w:p>
          <w:p w14:paraId="19E65F55" w14:textId="1D176F92" w:rsidR="008D139B" w:rsidRPr="00864063" w:rsidRDefault="008D139B" w:rsidP="00F049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64063">
              <w:rPr>
                <w:rFonts w:ascii="Arial" w:hAnsi="Arial" w:cs="Arial"/>
                <w:sz w:val="24"/>
                <w:szCs w:val="24"/>
              </w:rPr>
              <w:t>Calculate direct and inverse proportion involving squares, cubes and roots.</w:t>
            </w:r>
          </w:p>
        </w:tc>
        <w:tc>
          <w:tcPr>
            <w:tcW w:w="3969" w:type="dxa"/>
            <w:vAlign w:val="center"/>
          </w:tcPr>
          <w:p w14:paraId="10D5E40A" w14:textId="617DE888" w:rsidR="008D139B" w:rsidRPr="008809B7" w:rsidRDefault="008809B7" w:rsidP="008D139B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HYPERLINK "https://www.piximaths.co.uk/proportion"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139B" w:rsidRPr="008809B7">
              <w:rPr>
                <w:rStyle w:val="Hyperlink"/>
                <w:rFonts w:ascii="Arial" w:hAnsi="Arial" w:cs="Arial"/>
                <w:sz w:val="24"/>
                <w:szCs w:val="24"/>
              </w:rPr>
              <w:t>Direct and inverse proportion</w:t>
            </w:r>
          </w:p>
          <w:p w14:paraId="789A03F5" w14:textId="0F15F635" w:rsidR="008D139B" w:rsidRDefault="008809B7" w:rsidP="00C556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796D446" w14:textId="77777777" w:rsidR="008D139B" w:rsidRDefault="008D139B" w:rsidP="00C556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05A6E74" w14:textId="77777777" w:rsidR="008D139B" w:rsidRDefault="008D139B" w:rsidP="00C556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9E65F56" w14:textId="271FFA66" w:rsidR="008D139B" w:rsidRPr="00864063" w:rsidRDefault="008D139B" w:rsidP="00C556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39B" w:rsidRPr="00864063" w14:paraId="19E65F5D" w14:textId="77777777" w:rsidTr="00A7043E">
        <w:trPr>
          <w:trHeight w:val="567"/>
        </w:trPr>
        <w:tc>
          <w:tcPr>
            <w:tcW w:w="2268" w:type="dxa"/>
            <w:vAlign w:val="center"/>
          </w:tcPr>
          <w:p w14:paraId="19E65F59" w14:textId="77777777" w:rsidR="008D139B" w:rsidRPr="00864063" w:rsidRDefault="008D139B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64063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E65F5A" w14:textId="02370990" w:rsidR="008D139B" w:rsidRPr="00864063" w:rsidRDefault="00A7043E" w:rsidP="00F049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Calculate with exponential growth and decay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768200" w14:textId="19F5F107" w:rsidR="008D139B" w:rsidRDefault="008809B7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A7043E" w:rsidRPr="008809B7">
                <w:rPr>
                  <w:rStyle w:val="Hyperlink"/>
                  <w:rFonts w:ascii="Arial" w:hAnsi="Arial" w:cs="Arial"/>
                  <w:sz w:val="24"/>
                  <w:szCs w:val="24"/>
                </w:rPr>
                <w:t>Exponential growth and decay</w:t>
              </w:r>
            </w:hyperlink>
            <w:bookmarkStart w:id="0" w:name="_GoBack"/>
            <w:bookmarkEnd w:id="0"/>
          </w:p>
          <w:p w14:paraId="19E65F5B" w14:textId="77777777" w:rsidR="00A7043E" w:rsidRPr="00864063" w:rsidRDefault="00A7043E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39B" w:rsidRPr="00864063" w14:paraId="19E65F62" w14:textId="77777777" w:rsidTr="004930A5">
        <w:trPr>
          <w:trHeight w:val="567"/>
        </w:trPr>
        <w:tc>
          <w:tcPr>
            <w:tcW w:w="2268" w:type="dxa"/>
            <w:vAlign w:val="center"/>
          </w:tcPr>
          <w:p w14:paraId="19E65F5E" w14:textId="216605AF" w:rsidR="008D139B" w:rsidRPr="00864063" w:rsidRDefault="008D139B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64063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808080" w:themeFill="background1" w:themeFillShade="80"/>
            <w:vAlign w:val="center"/>
          </w:tcPr>
          <w:p w14:paraId="19E65F5F" w14:textId="77777777" w:rsidR="008D139B" w:rsidRPr="00864063" w:rsidRDefault="008D139B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808080" w:themeFill="background1" w:themeFillShade="80"/>
            <w:vAlign w:val="center"/>
          </w:tcPr>
          <w:p w14:paraId="19E65F60" w14:textId="77777777" w:rsidR="008D139B" w:rsidRPr="00864063" w:rsidRDefault="008D139B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39B" w:rsidRPr="00864063" w14:paraId="19E65F67" w14:textId="77777777" w:rsidTr="004930A5">
        <w:trPr>
          <w:trHeight w:val="567"/>
        </w:trPr>
        <w:tc>
          <w:tcPr>
            <w:tcW w:w="2268" w:type="dxa"/>
            <w:vAlign w:val="center"/>
          </w:tcPr>
          <w:p w14:paraId="19E65F63" w14:textId="77777777" w:rsidR="008D139B" w:rsidRPr="00864063" w:rsidRDefault="008D139B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64063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808080" w:themeFill="background1" w:themeFillShade="80"/>
            <w:vAlign w:val="center"/>
          </w:tcPr>
          <w:p w14:paraId="19E65F64" w14:textId="77777777" w:rsidR="008D139B" w:rsidRPr="00864063" w:rsidRDefault="008D139B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808080" w:themeFill="background1" w:themeFillShade="80"/>
            <w:vAlign w:val="center"/>
          </w:tcPr>
          <w:p w14:paraId="19E65F65" w14:textId="77777777" w:rsidR="008D139B" w:rsidRPr="00864063" w:rsidRDefault="008D139B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39B" w:rsidRPr="00864063" w14:paraId="19E65F6C" w14:textId="77777777" w:rsidTr="004930A5">
        <w:trPr>
          <w:trHeight w:val="567"/>
        </w:trPr>
        <w:tc>
          <w:tcPr>
            <w:tcW w:w="2268" w:type="dxa"/>
            <w:vAlign w:val="center"/>
          </w:tcPr>
          <w:p w14:paraId="19E65F68" w14:textId="77777777" w:rsidR="008D139B" w:rsidRPr="00864063" w:rsidRDefault="008D139B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64063">
              <w:rPr>
                <w:rFonts w:ascii="Arial" w:hAnsi="Arial" w:cs="Arial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  <w:shd w:val="clear" w:color="auto" w:fill="808080" w:themeFill="background1" w:themeFillShade="80"/>
            <w:vAlign w:val="center"/>
          </w:tcPr>
          <w:p w14:paraId="19E65F69" w14:textId="77777777" w:rsidR="008D139B" w:rsidRPr="00864063" w:rsidRDefault="008D139B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808080" w:themeFill="background1" w:themeFillShade="80"/>
            <w:vAlign w:val="center"/>
          </w:tcPr>
          <w:p w14:paraId="19E65F6A" w14:textId="77777777" w:rsidR="008D139B" w:rsidRPr="00864063" w:rsidRDefault="008D139B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E65F6D" w14:textId="77777777" w:rsidR="00B0556E" w:rsidRPr="00864063" w:rsidRDefault="00B0556E" w:rsidP="00B0556E">
      <w:pPr>
        <w:pStyle w:val="NoSpacing"/>
        <w:rPr>
          <w:rFonts w:ascii="Arial" w:hAnsi="Arial" w:cs="Arial"/>
          <w:sz w:val="24"/>
          <w:szCs w:val="24"/>
        </w:rPr>
      </w:pPr>
    </w:p>
    <w:sectPr w:rsidR="00B0556E" w:rsidRPr="00864063" w:rsidSect="008D139B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28DD8" w14:textId="77777777" w:rsidR="009C7EAC" w:rsidRDefault="009C7EAC" w:rsidP="00B0556E">
      <w:pPr>
        <w:spacing w:after="0" w:line="240" w:lineRule="auto"/>
      </w:pPr>
      <w:r>
        <w:separator/>
      </w:r>
    </w:p>
  </w:endnote>
  <w:endnote w:type="continuationSeparator" w:id="0">
    <w:p w14:paraId="075C426C" w14:textId="77777777" w:rsidR="009C7EAC" w:rsidRDefault="009C7EAC" w:rsidP="00B0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B8D00" w14:textId="77777777" w:rsidR="009C7EAC" w:rsidRDefault="009C7EAC" w:rsidP="00B0556E">
      <w:pPr>
        <w:spacing w:after="0" w:line="240" w:lineRule="auto"/>
      </w:pPr>
      <w:r>
        <w:separator/>
      </w:r>
    </w:p>
  </w:footnote>
  <w:footnote w:type="continuationSeparator" w:id="0">
    <w:p w14:paraId="525173C7" w14:textId="77777777" w:rsidR="009C7EAC" w:rsidRDefault="009C7EAC" w:rsidP="00B05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65F72" w14:textId="1D2525CF" w:rsidR="00B0556E" w:rsidRDefault="00864063" w:rsidP="00864063">
    <w:pPr>
      <w:pStyle w:val="Header"/>
      <w:jc w:val="right"/>
    </w:pPr>
    <w:r>
      <w:rPr>
        <w:noProof/>
        <w:lang w:eastAsia="en-GB"/>
      </w:rPr>
      <w:drawing>
        <wp:inline distT="0" distB="0" distL="0" distR="0" wp14:anchorId="35283870" wp14:editId="6309EA0A">
          <wp:extent cx="1009650" cy="6714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x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521" cy="675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6E"/>
    <w:rsid w:val="000562EF"/>
    <w:rsid w:val="001959D4"/>
    <w:rsid w:val="004930A5"/>
    <w:rsid w:val="00515966"/>
    <w:rsid w:val="006C740E"/>
    <w:rsid w:val="0076564B"/>
    <w:rsid w:val="007A786E"/>
    <w:rsid w:val="007C354C"/>
    <w:rsid w:val="00864063"/>
    <w:rsid w:val="008809B7"/>
    <w:rsid w:val="008D139B"/>
    <w:rsid w:val="009C7EAC"/>
    <w:rsid w:val="00A7043E"/>
    <w:rsid w:val="00B0556E"/>
    <w:rsid w:val="00B073D2"/>
    <w:rsid w:val="00BA7EF9"/>
    <w:rsid w:val="00BB2AE8"/>
    <w:rsid w:val="00C556E5"/>
    <w:rsid w:val="00F0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65F22"/>
  <w15:docId w15:val="{8A7B2169-63BA-4446-819C-53F406F1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55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05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56E"/>
  </w:style>
  <w:style w:type="paragraph" w:styleId="Footer">
    <w:name w:val="footer"/>
    <w:basedOn w:val="Normal"/>
    <w:link w:val="FooterChar"/>
    <w:uiPriority w:val="99"/>
    <w:unhideWhenUsed/>
    <w:rsid w:val="00B05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56E"/>
  </w:style>
  <w:style w:type="table" w:styleId="TableGrid">
    <w:name w:val="Table Grid"/>
    <w:basedOn w:val="TableNormal"/>
    <w:uiPriority w:val="39"/>
    <w:rsid w:val="00B05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809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iximaths.co.uk/proportion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piximaths.co.uk/proport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iximaths.co.uk/applied-rati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iximaths.co.uk/dividing-into-a-ratio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piximaths.co.uk/simplifying-ratio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E401156F4764BB2C6F20A964BCCEC" ma:contentTypeVersion="4" ma:contentTypeDescription="Create a new document." ma:contentTypeScope="" ma:versionID="e896c31a357fae3f56ede82f8715a737">
  <xsd:schema xmlns:xsd="http://www.w3.org/2001/XMLSchema" xmlns:xs="http://www.w3.org/2001/XMLSchema" xmlns:p="http://schemas.microsoft.com/office/2006/metadata/properties" xmlns:ns2="557e22d3-7b3f-4e7c-8253-1b6f825f5a4b" xmlns:ns3="f864f35b-862f-415f-8c45-f63899e63674" targetNamespace="http://schemas.microsoft.com/office/2006/metadata/properties" ma:root="true" ma:fieldsID="36b4bfac6347007d17695a869c3705c8" ns2:_="" ns3:_="">
    <xsd:import namespace="557e22d3-7b3f-4e7c-8253-1b6f825f5a4b"/>
    <xsd:import namespace="f864f35b-862f-415f-8c45-f63899e636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e22d3-7b3f-4e7c-8253-1b6f825f5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4f35b-862f-415f-8c45-f63899e6367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68BE9F-9C99-4315-BF47-D6A0C6D349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AD35D6-2D33-40F4-A178-F54B215A1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e22d3-7b3f-4e7c-8253-1b6f825f5a4b"/>
    <ds:schemaRef ds:uri="f864f35b-862f-415f-8c45-f63899e63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CF3D26-8638-4F4A-9BCB-4A8A3481CE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80BA9547</Template>
  <TotalTime>8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Glover</dc:creator>
  <cp:lastModifiedBy>Danielle Moosajee</cp:lastModifiedBy>
  <cp:revision>7</cp:revision>
  <dcterms:created xsi:type="dcterms:W3CDTF">2016-11-10T21:41:00Z</dcterms:created>
  <dcterms:modified xsi:type="dcterms:W3CDTF">2017-03-28T09:16:00Z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0x010100D76E401156F4764BB2C6F20A964BCCEC</vt:lpwstr>
  </property>
</Properties>
</file>